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2E78" w14:textId="77777777" w:rsidR="00410FD2" w:rsidRPr="00BA6255" w:rsidRDefault="00410FD2" w:rsidP="00426186">
      <w:pPr>
        <w:tabs>
          <w:tab w:val="left" w:pos="231"/>
        </w:tabs>
        <w:spacing w:before="160" w:line="259" w:lineRule="auto"/>
        <w:jc w:val="center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 w:cs="Arial Unicode MS"/>
          <w:b/>
          <w:color w:val="auto"/>
          <w:sz w:val="22"/>
          <w:szCs w:val="22"/>
        </w:rPr>
        <w:t>POUCZENIE</w:t>
      </w:r>
    </w:p>
    <w:p w14:paraId="6DE49A57" w14:textId="77777777" w:rsidR="00426186" w:rsidRPr="00BA6255" w:rsidRDefault="00426186" w:rsidP="00426186">
      <w:pPr>
        <w:tabs>
          <w:tab w:val="left" w:pos="231"/>
        </w:tabs>
        <w:spacing w:before="160" w:line="259" w:lineRule="auto"/>
        <w:jc w:val="center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</w:p>
    <w:p w14:paraId="0407F86A" w14:textId="77777777" w:rsidR="004E7086" w:rsidRDefault="00954FA0">
      <w:pPr>
        <w:pStyle w:val="Spistreci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fldChar w:fldCharType="begin"/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instrText xml:space="preserve"> TOC \h \z \t "Nagłówek 1;2;Tytuł;1" </w:instrTex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fldChar w:fldCharType="separate"/>
      </w:r>
      <w:hyperlink w:anchor="_Toc448736606" w:history="1">
        <w:r w:rsidR="004E7086" w:rsidRPr="00C12770">
          <w:rPr>
            <w:rStyle w:val="Hipercze"/>
            <w:rFonts w:ascii="Calibri" w:hAnsi="Calibri" w:cs="Times New Roman"/>
            <w:b/>
            <w:noProof/>
          </w:rPr>
          <w:t>I. ZWOLNIENIE OD KOSZTÓW SĄDOWYCH</w:t>
        </w:r>
        <w:r w:rsidR="004E7086">
          <w:rPr>
            <w:noProof/>
            <w:webHidden/>
          </w:rPr>
          <w:tab/>
        </w:r>
        <w:r w:rsidR="004E7086">
          <w:rPr>
            <w:noProof/>
            <w:webHidden/>
          </w:rPr>
          <w:fldChar w:fldCharType="begin"/>
        </w:r>
        <w:r w:rsidR="004E7086">
          <w:rPr>
            <w:noProof/>
            <w:webHidden/>
          </w:rPr>
          <w:instrText xml:space="preserve"> PAGEREF _Toc448736606 \h </w:instrText>
        </w:r>
        <w:r w:rsidR="004E7086">
          <w:rPr>
            <w:noProof/>
            <w:webHidden/>
          </w:rPr>
        </w:r>
        <w:r w:rsidR="004E7086">
          <w:rPr>
            <w:noProof/>
            <w:webHidden/>
          </w:rPr>
          <w:fldChar w:fldCharType="separate"/>
        </w:r>
        <w:r w:rsidR="004E7086">
          <w:rPr>
            <w:noProof/>
            <w:webHidden/>
          </w:rPr>
          <w:t>2</w:t>
        </w:r>
        <w:r w:rsidR="004E7086">
          <w:rPr>
            <w:noProof/>
            <w:webHidden/>
          </w:rPr>
          <w:fldChar w:fldCharType="end"/>
        </w:r>
      </w:hyperlink>
    </w:p>
    <w:p w14:paraId="40D1BC38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07" w:history="1">
        <w:r w:rsidRPr="00C12770">
          <w:rPr>
            <w:rStyle w:val="Hipercze"/>
            <w:rFonts w:ascii="Calibri" w:hAnsi="Calibri"/>
            <w:noProof/>
          </w:rPr>
          <w:t>1. Kto może domagać się zwolnienia od kosztów sądowych?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2E95A6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08" w:history="1">
        <w:r w:rsidRPr="00C12770">
          <w:rPr>
            <w:rStyle w:val="Hipercze"/>
            <w:rFonts w:ascii="Calibri" w:hAnsi="Calibri"/>
            <w:noProof/>
          </w:rPr>
          <w:t>2. Jaki podmiot jest właściwy w sprawach związanych ze zwalnianiem od kosztów sądowych?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2FCAF6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09" w:history="1">
        <w:r w:rsidRPr="00C12770">
          <w:rPr>
            <w:rStyle w:val="Hipercze"/>
            <w:rFonts w:ascii="Calibri" w:hAnsi="Calibri"/>
            <w:noProof/>
          </w:rPr>
          <w:t>3. W jakiej części można zostać zwolnionym od kosztów sądowych?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8A080D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0" w:history="1">
        <w:r w:rsidRPr="00C12770">
          <w:rPr>
            <w:rStyle w:val="Hipercze"/>
            <w:rFonts w:ascii="Calibri" w:hAnsi="Calibri"/>
            <w:noProof/>
          </w:rPr>
          <w:t>4. W jaki sposób można uzyskać zwolnienie od kosztów sądowych? Do jakiego sądu składa się taki wniosek?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63958B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1" w:history="1">
        <w:r w:rsidRPr="00C12770">
          <w:rPr>
            <w:rStyle w:val="Hipercze"/>
            <w:rFonts w:ascii="Calibri" w:hAnsi="Calibri"/>
            <w:noProof/>
          </w:rPr>
          <w:t>5. Jak uzasadnić wniosek o ustanowienie adwokata lub radcy prawnego?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6CBF86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2" w:history="1">
        <w:r w:rsidRPr="00C12770">
          <w:rPr>
            <w:rStyle w:val="Hipercze"/>
            <w:rFonts w:ascii="Calibri" w:hAnsi="Calibri"/>
            <w:noProof/>
          </w:rPr>
          <w:t>6. Gdzie można znaleźć wzór oświadczenia obejmującego szczegółowe dane o stanie rodzinnym, majątku, dochodach i źródłach utrzymania osoby ubiegającej się o zwolnienie od kosztów?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FC6333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3" w:history="1">
        <w:r w:rsidRPr="00C12770">
          <w:rPr>
            <w:rStyle w:val="Hipercze"/>
            <w:rFonts w:ascii="Calibri" w:hAnsi="Calibri"/>
            <w:noProof/>
          </w:rPr>
          <w:t>7. Co się stanie, jeżeli podstawy zwolnienia od kosztów nie istniały lub przestały istnieć?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768E77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4" w:history="1">
        <w:r w:rsidRPr="00C12770">
          <w:rPr>
            <w:rStyle w:val="Hipercze"/>
            <w:rFonts w:ascii="Calibri" w:hAnsi="Calibri"/>
            <w:noProof/>
          </w:rPr>
          <w:t>8. Czy odmowę zwolnienia od kosztów sądowych można zaskarżyć?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445DA6" w14:textId="77777777" w:rsidR="004E7086" w:rsidRDefault="004E7086">
      <w:pPr>
        <w:pStyle w:val="Spistreci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5" w:history="1">
        <w:r w:rsidRPr="00C12770">
          <w:rPr>
            <w:rStyle w:val="Hipercze"/>
            <w:rFonts w:ascii="Calibri" w:hAnsi="Calibri" w:cs="Times New Roman"/>
            <w:b/>
            <w:noProof/>
          </w:rPr>
          <w:t>II. USTANOWIENIE PEŁNOMOCNIKA Z URZĘDU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C96ADF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6" w:history="1">
        <w:r w:rsidRPr="00C12770">
          <w:rPr>
            <w:rStyle w:val="Hipercze"/>
            <w:rFonts w:ascii="Calibri" w:hAnsi="Calibri"/>
            <w:noProof/>
          </w:rPr>
          <w:t>1. Jaki podmiot jest właściwy w sprawie ustanowienia adwokata lub radcy prawnego?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159E03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7" w:history="1">
        <w:r w:rsidRPr="00C12770">
          <w:rPr>
            <w:rStyle w:val="Hipercze"/>
            <w:rFonts w:ascii="Calibri" w:hAnsi="Calibri"/>
            <w:noProof/>
          </w:rPr>
          <w:t>2. Domaganie się wnioskiem wyłącznie ustanowienia adwokata lub radcy prawnego, gdy NIE jest się zwolnionym od kosztów sądowych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5BD15A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8" w:history="1">
        <w:r w:rsidRPr="00C12770">
          <w:rPr>
            <w:rStyle w:val="Hipercze"/>
            <w:rFonts w:ascii="Calibri" w:hAnsi="Calibri"/>
            <w:noProof/>
          </w:rPr>
          <w:t>3. Domaganie się wnioskiem wyłącznie ustanowienia adwokata lub radcy prawnego, gdy jest się już zwolnionym od kosztów sądowych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7B319F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19" w:history="1">
        <w:r w:rsidRPr="00C12770">
          <w:rPr>
            <w:rStyle w:val="Hipercze"/>
            <w:rFonts w:ascii="Calibri" w:hAnsi="Calibri"/>
            <w:noProof/>
          </w:rPr>
          <w:t>4. Domaganie się wnioskiem łącznie zwolnienia od kosztów sądowych i ustanowienia adwokata lub radcy prawnego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2BAF59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0" w:history="1">
        <w:r w:rsidRPr="00C12770">
          <w:rPr>
            <w:rStyle w:val="Hipercze"/>
            <w:rFonts w:ascii="Calibri" w:hAnsi="Calibri"/>
            <w:noProof/>
          </w:rPr>
          <w:t>5. Jak uzasadnić wniosek o ustanowienie adwokata lub radcy prawnego?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F2DCA6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1" w:history="1">
        <w:r w:rsidRPr="00C12770">
          <w:rPr>
            <w:rStyle w:val="Hipercze"/>
            <w:rFonts w:ascii="Calibri" w:hAnsi="Calibri"/>
            <w:noProof/>
          </w:rPr>
          <w:t>6. Do jakiego sądu składa się wniosek o ustanowienie adwokata lub radcy prawnego?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0794B0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2" w:history="1">
        <w:r w:rsidRPr="00C12770">
          <w:rPr>
            <w:rStyle w:val="Hipercze"/>
            <w:rFonts w:ascii="Calibri" w:hAnsi="Calibri"/>
            <w:noProof/>
          </w:rPr>
          <w:t>7. Skutki zgłoszenia wniosku o ustanowienie adwokata lub radcy prawnego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DFE93F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3" w:history="1">
        <w:r w:rsidRPr="00C12770">
          <w:rPr>
            <w:rStyle w:val="Hipercze"/>
            <w:rFonts w:ascii="Calibri" w:hAnsi="Calibri"/>
            <w:noProof/>
          </w:rPr>
          <w:t>8. Skutki ustanowienia adwokata lub radcy prawnego przez sąd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703F067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4" w:history="1">
        <w:r w:rsidRPr="00C12770">
          <w:rPr>
            <w:rStyle w:val="Hipercze"/>
            <w:rFonts w:ascii="Calibri" w:hAnsi="Calibri"/>
            <w:noProof/>
          </w:rPr>
          <w:t>9. Co się stanie, jeżeli podstawy zwolnienia od kosztów nie istniały lub przestały istnieć?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2A6315" w14:textId="77777777" w:rsidR="004E7086" w:rsidRDefault="004E7086">
      <w:pPr>
        <w:pStyle w:val="Spistreci2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/>
        </w:rPr>
      </w:pPr>
      <w:hyperlink w:anchor="_Toc448736625" w:history="1">
        <w:r w:rsidRPr="00C12770">
          <w:rPr>
            <w:rStyle w:val="Hipercze"/>
            <w:rFonts w:ascii="Calibri" w:hAnsi="Calibri"/>
            <w:noProof/>
          </w:rPr>
          <w:t>10. Czy można zaskarżyć brak ustanowienia adwokata lub radcy prawnego?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_Toc448736625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ED8E73" w14:textId="77777777" w:rsidR="00954FA0" w:rsidRPr="00BA6255" w:rsidRDefault="00954FA0" w:rsidP="00334059">
      <w:pPr>
        <w:tabs>
          <w:tab w:val="left" w:pos="231"/>
        </w:tabs>
        <w:spacing w:before="160" w:line="259" w:lineRule="auto"/>
        <w:jc w:val="both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fldChar w:fldCharType="end"/>
      </w:r>
    </w:p>
    <w:p w14:paraId="397EBF53" w14:textId="77777777" w:rsidR="00410FD2" w:rsidRPr="00BA6255" w:rsidRDefault="00410FD2" w:rsidP="00334059">
      <w:pPr>
        <w:tabs>
          <w:tab w:val="left" w:pos="231"/>
        </w:tabs>
        <w:spacing w:before="160" w:line="259" w:lineRule="auto"/>
        <w:jc w:val="both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</w:p>
    <w:p w14:paraId="4E7E9C0F" w14:textId="2E27D0EE" w:rsidR="00954FA0" w:rsidRPr="00BA6255" w:rsidRDefault="00954FA0">
      <w:pPr>
        <w:spacing w:after="200" w:line="276" w:lineRule="auto"/>
        <w:rPr>
          <w:rStyle w:val="Teksttreci0"/>
          <w:rFonts w:ascii="Calibri" w:eastAsia="Arial Unicode MS" w:hAnsi="Calibri"/>
          <w:b/>
          <w:i/>
          <w:iCs/>
          <w:color w:val="auto"/>
          <w:sz w:val="22"/>
          <w:szCs w:val="22"/>
        </w:rPr>
      </w:pPr>
    </w:p>
    <w:p w14:paraId="6A35BB2C" w14:textId="77777777" w:rsidR="00603EE1" w:rsidRPr="00BA6255" w:rsidRDefault="00410FD2" w:rsidP="00954FA0">
      <w:pPr>
        <w:pStyle w:val="Tytu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  <w:bookmarkStart w:id="0" w:name="_Toc448736606"/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 xml:space="preserve">I. </w:t>
      </w:r>
      <w:r w:rsidR="00603EE1"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ZWOLNIENIE OD KOSZTÓW SĄDOWYCH</w:t>
      </w:r>
      <w:bookmarkEnd w:id="0"/>
    </w:p>
    <w:p w14:paraId="2A5A6B04" w14:textId="77777777" w:rsidR="00603EE1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" w:name="_Toc448736607"/>
      <w:r w:rsidRPr="00BA6255">
        <w:rPr>
          <w:rStyle w:val="Pogrubienie"/>
          <w:rFonts w:ascii="Calibri" w:hAnsi="Calibri"/>
          <w:sz w:val="22"/>
          <w:szCs w:val="22"/>
        </w:rPr>
        <w:t xml:space="preserve">1. </w:t>
      </w:r>
      <w:r w:rsidR="00603EE1" w:rsidRPr="00BA6255">
        <w:rPr>
          <w:rStyle w:val="Pogrubienie"/>
          <w:rFonts w:ascii="Calibri" w:hAnsi="Calibri"/>
          <w:sz w:val="22"/>
          <w:szCs w:val="22"/>
        </w:rPr>
        <w:t>Kto może domagać się zwolnienia od kosztów sądowych?</w:t>
      </w:r>
      <w:bookmarkEnd w:id="1"/>
    </w:p>
    <w:p w14:paraId="69C83EBC" w14:textId="77777777" w:rsidR="00603EE1" w:rsidRPr="00BA6255" w:rsidRDefault="00603EE1" w:rsidP="00410FD2">
      <w:pPr>
        <w:tabs>
          <w:tab w:val="left" w:pos="23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Zwolnienia od kosztów sądowych może domagać się osoba fizyczna, która złożyła oświadczenie, że nie jest w stanie ich ponieść bez uszczerbku utrzymania koniecznego dla siebie i rodziny (art. 102 ust. 1 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ustawy o kosztach sądowych w sprawach cywilnych, dalej jako „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u.k.s.c.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”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</w:t>
      </w:r>
    </w:p>
    <w:p w14:paraId="421B9AAC" w14:textId="77777777" w:rsidR="00410FD2" w:rsidRPr="00BA6255" w:rsidRDefault="00410FD2" w:rsidP="00410FD2">
      <w:pPr>
        <w:tabs>
          <w:tab w:val="left" w:pos="23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3809934C" w14:textId="77777777" w:rsidR="00334059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2" w:name="_Toc448736608"/>
      <w:r w:rsidRPr="00BA6255">
        <w:rPr>
          <w:rStyle w:val="Pogrubienie"/>
          <w:rFonts w:ascii="Calibri" w:hAnsi="Calibri"/>
          <w:sz w:val="22"/>
          <w:szCs w:val="22"/>
        </w:rPr>
        <w:t xml:space="preserve">2. </w:t>
      </w:r>
      <w:r w:rsidR="00334059" w:rsidRPr="00BA6255">
        <w:rPr>
          <w:rStyle w:val="Pogrubienie"/>
          <w:rFonts w:ascii="Calibri" w:hAnsi="Calibri"/>
          <w:sz w:val="22"/>
          <w:szCs w:val="22"/>
        </w:rPr>
        <w:t>Jaki podmiot jest właściwy w sprawach związanych ze zwalnianiem od kosztów sądowych?</w:t>
      </w:r>
      <w:bookmarkEnd w:id="2"/>
    </w:p>
    <w:p w14:paraId="6264AA24" w14:textId="77777777" w:rsidR="00334059" w:rsidRPr="00BA6255" w:rsidRDefault="00334059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 oraz referendarz sądowy (zgodnie z art. 118 u.k.s.c.).</w:t>
      </w:r>
    </w:p>
    <w:p w14:paraId="4AE0179F" w14:textId="77777777" w:rsidR="00410FD2" w:rsidRPr="00BA6255" w:rsidRDefault="00410FD2" w:rsidP="00410FD2">
      <w:pPr>
        <w:tabs>
          <w:tab w:val="left" w:pos="471"/>
        </w:tabs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1F701DC" w14:textId="77777777" w:rsidR="00603EE1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3" w:name="_Toc448736609"/>
      <w:r w:rsidRPr="00BA6255">
        <w:rPr>
          <w:rStyle w:val="Pogrubienie"/>
          <w:rFonts w:ascii="Calibri" w:hAnsi="Calibri"/>
          <w:sz w:val="22"/>
          <w:szCs w:val="22"/>
        </w:rPr>
        <w:t xml:space="preserve">3. </w:t>
      </w:r>
      <w:r w:rsidR="00603EE1" w:rsidRPr="00BA6255">
        <w:rPr>
          <w:rStyle w:val="Pogrubienie"/>
          <w:rFonts w:ascii="Calibri" w:hAnsi="Calibri"/>
          <w:sz w:val="22"/>
          <w:szCs w:val="22"/>
        </w:rPr>
        <w:t>W jakiej części można zostać zwolnionym od kosztów sądowych?</w:t>
      </w:r>
      <w:bookmarkEnd w:id="3"/>
    </w:p>
    <w:p w14:paraId="4C0F1942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 może zwolnić stronę od kosztów sądowych w całości lub w części.</w:t>
      </w:r>
    </w:p>
    <w:p w14:paraId="7A48C5A0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Strona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w całości zwolniona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przez sąd od kosztów sądowych nie uiszcza opłat sądowych i nie ponosi wydatków, które obciążają tymczasowo Skarb Państwa.</w:t>
      </w:r>
    </w:p>
    <w:p w14:paraId="54D2845C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Częściowe zwolnienie od kosztów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może polegać na zwolnieniu od poniesienia albo ułamkowej lub procentowej ich części, albo określonej ich kwoty, albo niektórych opłat lub wydatków (art. 101 ust. 2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u.k.s.c.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 Może też polegać na przyznaniu zwolnienia co do pewnej części roszczenia lub co do niektórych roszczeń dochodzonych łącznie; roszczenia te lub ich części sąd oznacza w postanowieniu o przyznaniu częściowego zwolnienia od kosztów sądowych (art. 101 ust. 2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u.k.s.c.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</w:t>
      </w:r>
    </w:p>
    <w:p w14:paraId="2B2C935E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Strona częściowo zwolniona od kosztów sądowych obowiązana jest uiścić opłaty oraz ponieść wydatki w takiej wysokości, jaka nie jest objęta zwolnieniem przyznanym przez sąd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, a strona w całości zwolniona od kosztów sądowych z mocy ustawy nie uiszcza opłat sądowych i nie ponosi wydatków, które obciążają tymczasowo Skarb Państwa. (art. 101 ust. 3 w zw. Z art. 100 ust. 1 u.k.s.c.).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Zwolnienie od kosztów sądowych ma więc charakter tymczasowy w tym znaczeniu, że koszty, które obciążałyby stronę, ponosi Skarb Państwa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jednakże w orzeczeniu kończącym sprawę w instancji sąd orzeknie o nich na podstawie art. 113 u.k.s.c.</w:t>
      </w:r>
    </w:p>
    <w:p w14:paraId="681E3DBC" w14:textId="77777777" w:rsidR="00410FD2" w:rsidRPr="00BA6255" w:rsidRDefault="00410FD2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6B33452A" w14:textId="77777777" w:rsidR="00603EE1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4" w:name="_Toc448736610"/>
      <w:r w:rsidRPr="00BA6255">
        <w:rPr>
          <w:rStyle w:val="Pogrubienie"/>
          <w:rFonts w:ascii="Calibri" w:hAnsi="Calibri"/>
          <w:sz w:val="22"/>
          <w:szCs w:val="22"/>
        </w:rPr>
        <w:t xml:space="preserve">4. </w:t>
      </w:r>
      <w:r w:rsidR="00603EE1" w:rsidRPr="00BA6255">
        <w:rPr>
          <w:rStyle w:val="Pogrubienie"/>
          <w:rFonts w:ascii="Calibri" w:hAnsi="Calibri"/>
          <w:sz w:val="22"/>
          <w:szCs w:val="22"/>
        </w:rPr>
        <w:t>W jaki sposób można uzyskać zwolnienie od kosztów sądowych?</w:t>
      </w:r>
      <w:r w:rsidR="000C023E" w:rsidRPr="00BA6255">
        <w:rPr>
          <w:rStyle w:val="Pogrubienie"/>
          <w:rFonts w:ascii="Calibri" w:hAnsi="Calibri"/>
          <w:sz w:val="22"/>
          <w:szCs w:val="22"/>
        </w:rPr>
        <w:t xml:space="preserve"> Do jakiego sądu składa się taki wniosek?</w:t>
      </w:r>
      <w:bookmarkEnd w:id="4"/>
    </w:p>
    <w:p w14:paraId="28F13D5E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Należy zgłosić wniosek o przyznanie zwolnienia od kosztów sądowych na piśmie lub ustnie do protokołu w sądzie, w którym sprawa ma być wytoczona lub już się toczy (art. 105 ust. 1 u.k.s.c.). </w:t>
      </w:r>
      <w:r w:rsidRPr="00BA6255">
        <w:rPr>
          <w:rFonts w:ascii="Calibri" w:hAnsi="Calibri"/>
          <w:sz w:val="22"/>
          <w:szCs w:val="22"/>
        </w:rPr>
        <w:t xml:space="preserve">Do </w:t>
      </w:r>
      <w:bookmarkStart w:id="5" w:name="_GoBack"/>
      <w:bookmarkEnd w:id="5"/>
      <w:r w:rsidRPr="00BA6255">
        <w:rPr>
          <w:rFonts w:ascii="Calibri" w:hAnsi="Calibri"/>
          <w:sz w:val="22"/>
          <w:szCs w:val="22"/>
        </w:rPr>
        <w:t xml:space="preserve">wniosku o zwolnienie od </w:t>
      </w:r>
      <w:r w:rsidRPr="00BA6255">
        <w:rPr>
          <w:rStyle w:val="luchili"/>
          <w:rFonts w:ascii="Calibri" w:hAnsi="Calibri"/>
          <w:sz w:val="22"/>
          <w:szCs w:val="22"/>
        </w:rPr>
        <w:t>kosztów</w:t>
      </w:r>
      <w:r w:rsidRPr="00BA6255">
        <w:rPr>
          <w:rFonts w:ascii="Calibri" w:hAnsi="Calibri"/>
          <w:sz w:val="22"/>
          <w:szCs w:val="22"/>
        </w:rPr>
        <w:t xml:space="preserve"> </w:t>
      </w:r>
      <w:r w:rsidRPr="00BA6255">
        <w:rPr>
          <w:rStyle w:val="luchili"/>
          <w:rFonts w:ascii="Calibri" w:hAnsi="Calibri"/>
          <w:sz w:val="22"/>
          <w:szCs w:val="22"/>
        </w:rPr>
        <w:t>sądowych</w:t>
      </w:r>
      <w:r w:rsidRPr="00BA6255">
        <w:rPr>
          <w:rFonts w:ascii="Calibri" w:hAnsi="Calibri"/>
          <w:sz w:val="22"/>
          <w:szCs w:val="22"/>
        </w:rPr>
        <w:t xml:space="preserve"> powinno być dołączone oświadczenie obejmujące szczegółowe dane o stanie rodzinnym, majątku, dochodach i źródłach utrzymania osoby ubiegającej </w:t>
      </w:r>
      <w:r w:rsidRPr="00BA6255">
        <w:rPr>
          <w:rFonts w:ascii="Calibri" w:hAnsi="Calibri"/>
          <w:sz w:val="22"/>
          <w:szCs w:val="22"/>
        </w:rPr>
        <w:lastRenderedPageBreak/>
        <w:t xml:space="preserve">się o zwolnienie od </w:t>
      </w:r>
      <w:r w:rsidRPr="00BA6255">
        <w:rPr>
          <w:rStyle w:val="luchili"/>
          <w:rFonts w:ascii="Calibri" w:hAnsi="Calibri"/>
          <w:sz w:val="22"/>
          <w:szCs w:val="22"/>
        </w:rPr>
        <w:t>kosztów</w:t>
      </w:r>
      <w:r w:rsidRPr="00BA6255">
        <w:rPr>
          <w:rFonts w:ascii="Calibri" w:hAnsi="Calibri"/>
          <w:sz w:val="22"/>
          <w:szCs w:val="22"/>
        </w:rPr>
        <w:t>. Oświadczenie sporządza się według ustalonego wzoru. (art. 102 ust. 2 u.k.s.c.).</w:t>
      </w:r>
    </w:p>
    <w:p w14:paraId="49CC0236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Osoba fizyczna, która nie ma miejsca zamieszkania w siedzibie tego sądu, może złożyć wniosek o przyznanie zwolnienia od kosztów sądowych w sądzie rejonowym właściwym ze względu na miejsce swego zamieszkania. Sąd niezwłocznie przesyła ten wniosek właściwemu sądowi (art. 105 ust. 2 u.k.s.c.).</w:t>
      </w:r>
    </w:p>
    <w:p w14:paraId="327D9AE6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Złożenie wniosku do protokołu nie uchyla obowiązku sporządzenia oświadczenia, o którym mowa w art. 102 ust. 2 u.k.s.c. (czyli oświadczenia obejmującego szczegółowe dane o stanie rodzinnym, majątku, dochodach i źródłach utrzymania osoby ubiegającej się o zwolnienie od kosztów) – jest ono wtedy składane do protokołu (art. 105 ust. 1 zd. 2 u.k.s.c.).</w:t>
      </w:r>
    </w:p>
    <w:p w14:paraId="17AC35C2" w14:textId="77777777" w:rsidR="005F03D3" w:rsidRPr="00BA6255" w:rsidRDefault="005F03D3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Należy pamiętać, że zgodnie z art. 109 u.k.s.c.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sąd może zarządzić stosowne dochodzenie, jeżeli na podstawie okoliczności sprawy lub oświadczeń strony przeciwnej powziął wątpliwości co do rzeczywistego stanu majątkowego strony domagającej się zwolnienia od kosztów sądowych lub z niego korzystającej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 Sąd odmawia zwolnienia od kosztów sądowych stronie w razie oczywistej bezzasadności dochodzonego roszczenia lub obrony praw.</w:t>
      </w:r>
    </w:p>
    <w:p w14:paraId="449722E7" w14:textId="77777777" w:rsidR="00531AC0" w:rsidRPr="00BA6255" w:rsidRDefault="00531AC0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7522C012" w14:textId="77777777" w:rsidR="00531AC0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6" w:name="_Toc448736611"/>
      <w:r w:rsidRPr="00BA6255">
        <w:rPr>
          <w:rStyle w:val="Pogrubienie"/>
          <w:rFonts w:ascii="Calibri" w:hAnsi="Calibri"/>
          <w:sz w:val="22"/>
          <w:szCs w:val="22"/>
        </w:rPr>
        <w:t xml:space="preserve">5. </w:t>
      </w:r>
      <w:r w:rsidR="00531AC0" w:rsidRPr="00BA6255">
        <w:rPr>
          <w:rStyle w:val="Pogrubienie"/>
          <w:rFonts w:ascii="Calibri" w:hAnsi="Calibri"/>
          <w:sz w:val="22"/>
          <w:szCs w:val="22"/>
        </w:rPr>
        <w:t>Jak uzasadnić wniosek o ustanowienie adwokata lub radcy prawnego?</w:t>
      </w:r>
      <w:bookmarkEnd w:id="6"/>
    </w:p>
    <w:p w14:paraId="512F6FAB" w14:textId="77777777" w:rsidR="00410FD2" w:rsidRPr="00BA6255" w:rsidRDefault="00531AC0" w:rsidP="00531AC0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Decydująca jest w tym przypadku treść oświadczenia załączonego do wniosku. Do treści tego oświadczenia należy odnieść się we wniosku. Taki wniosek można uzasadnić także faktem zamieszkiwania strony poza miejscowością, w której jest siedziba sądu.</w:t>
      </w:r>
      <w:r w:rsidR="00CB32C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Warto załączyć także np. dokument potwierdzający niepełnosprawność, zaświadczenia lekarskie itp.</w:t>
      </w:r>
    </w:p>
    <w:p w14:paraId="23DBDA26" w14:textId="77777777" w:rsidR="00531AC0" w:rsidRPr="00BA6255" w:rsidRDefault="00531AC0" w:rsidP="00531AC0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444CB447" w14:textId="77777777" w:rsidR="00603EE1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7" w:name="_Toc448736612"/>
      <w:r w:rsidRPr="00BA6255">
        <w:rPr>
          <w:rStyle w:val="Pogrubienie"/>
          <w:rFonts w:ascii="Calibri" w:hAnsi="Calibri"/>
          <w:sz w:val="22"/>
          <w:szCs w:val="22"/>
        </w:rPr>
        <w:t xml:space="preserve">6. </w:t>
      </w:r>
      <w:r w:rsidR="00603EE1" w:rsidRPr="00BA6255">
        <w:rPr>
          <w:rStyle w:val="Pogrubienie"/>
          <w:rFonts w:ascii="Calibri" w:hAnsi="Calibri"/>
          <w:sz w:val="22"/>
          <w:szCs w:val="22"/>
        </w:rPr>
        <w:t>Gdzie można znaleźć wzór oświadczenia obejmującego szczegółowe dane o stanie rodzinnym, majątku, dochodach i źródłach utrzymania osoby ubiegającej się o zwolnienie od kosztów?</w:t>
      </w:r>
      <w:bookmarkEnd w:id="7"/>
    </w:p>
    <w:p w14:paraId="4DACE4C7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Wzór takiego oświadczenia został określony w rozporządzeniu Ministra Sprawiedliwości z 31 stycznia 2006 r. w sprawie określenia wzoru oświadczenia o stanie rodzinnym, majątku, dochodach i źródłach utrzymania osoby fizycznej ubiegającej się o zwolnienie od kosztów sądowych w postępowaniu cywilnym (Dz.U. z 2015 r. poz. 574). Wzór druku oświadczen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ia udostępnia się nieodpłatnie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:</w:t>
      </w:r>
    </w:p>
    <w:p w14:paraId="7CD19017" w14:textId="77777777" w:rsidR="00603EE1" w:rsidRPr="00BA6255" w:rsidRDefault="005F03D3" w:rsidP="00334059">
      <w:pPr>
        <w:pStyle w:val="Akapitzlist"/>
        <w:numPr>
          <w:ilvl w:val="0"/>
          <w:numId w:val="4"/>
        </w:numPr>
        <w:tabs>
          <w:tab w:val="left" w:pos="471"/>
        </w:tabs>
        <w:spacing w:before="160" w:line="259" w:lineRule="auto"/>
        <w:contextualSpacing w:val="0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budynkach:</w:t>
      </w:r>
    </w:p>
    <w:p w14:paraId="0E91AE7B" w14:textId="77777777" w:rsidR="00603EE1" w:rsidRPr="00BA6255" w:rsidRDefault="00603EE1" w:rsidP="00334059">
      <w:pPr>
        <w:pStyle w:val="Akapitzlist"/>
        <w:numPr>
          <w:ilvl w:val="0"/>
          <w:numId w:val="3"/>
        </w:numPr>
        <w:tabs>
          <w:tab w:val="left" w:pos="471"/>
        </w:tabs>
        <w:spacing w:before="160" w:line="259" w:lineRule="auto"/>
        <w:contextualSpacing w:val="0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rejonowych i ich wydziałach zamiejscowych;</w:t>
      </w:r>
    </w:p>
    <w:p w14:paraId="05DF5C5C" w14:textId="77777777" w:rsidR="00603EE1" w:rsidRPr="00BA6255" w:rsidRDefault="00603EE1" w:rsidP="00334059">
      <w:pPr>
        <w:pStyle w:val="Akapitzlist"/>
        <w:numPr>
          <w:ilvl w:val="0"/>
          <w:numId w:val="3"/>
        </w:numPr>
        <w:tabs>
          <w:tab w:val="left" w:pos="471"/>
        </w:tabs>
        <w:spacing w:before="160" w:line="259" w:lineRule="auto"/>
        <w:contextualSpacing w:val="0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okręgowych oraz ich ośrodkach zamiejscowych i wydziałach zamiejscowych;</w:t>
      </w:r>
    </w:p>
    <w:p w14:paraId="64E6E752" w14:textId="77777777" w:rsidR="00603EE1" w:rsidRPr="00BA6255" w:rsidRDefault="00603EE1" w:rsidP="00334059">
      <w:pPr>
        <w:pStyle w:val="Akapitzlist"/>
        <w:numPr>
          <w:ilvl w:val="0"/>
          <w:numId w:val="3"/>
        </w:numPr>
        <w:tabs>
          <w:tab w:val="left" w:pos="471"/>
        </w:tabs>
        <w:spacing w:before="160" w:line="259" w:lineRule="auto"/>
        <w:contextualSpacing w:val="0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apelacyjnych.</w:t>
      </w:r>
    </w:p>
    <w:p w14:paraId="094533F2" w14:textId="77777777" w:rsidR="005F03D3" w:rsidRPr="00BA6255" w:rsidRDefault="005F03D3" w:rsidP="00334059">
      <w:pPr>
        <w:pStyle w:val="Akapitzlist"/>
        <w:numPr>
          <w:ilvl w:val="0"/>
          <w:numId w:val="4"/>
        </w:numPr>
        <w:tabs>
          <w:tab w:val="left" w:pos="471"/>
        </w:tabs>
        <w:spacing w:before="160" w:line="259" w:lineRule="auto"/>
        <w:contextualSpacing w:val="0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Na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stronie internetowej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Ministerstwa Sprawiedliwości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pod adresem: </w:t>
      </w:r>
      <w:hyperlink r:id="rId8" w:history="1">
        <w:r w:rsidRPr="00BA6255">
          <w:rPr>
            <w:rStyle w:val="Hipercze"/>
            <w:rFonts w:ascii="Calibri" w:hAnsi="Calibri" w:cs="Times New Roman"/>
            <w:sz w:val="22"/>
            <w:szCs w:val="22"/>
          </w:rPr>
          <w:t>https://bip.ms.gov.pl/pl/formularze/formularze-pism-procesowych-w-postepowaniu-cywilnym/</w:t>
        </w:r>
      </w:hyperlink>
    </w:p>
    <w:p w14:paraId="3EE687C2" w14:textId="77777777" w:rsidR="00603EE1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Jeżeli oświadczenie według ustalonego wzoru nie zostało złożone albo nie zawiera wszystkich wymaganych danych, stosuje się art. 130 k.p.c., 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zgodnie z którym wzywa się stronę, pod rygorem zwrócenia pisma, do poprawienia, uzupełnienia lub opłacenia go w terminie tygodniowym.</w:t>
      </w:r>
    </w:p>
    <w:p w14:paraId="2CF2E3D6" w14:textId="77777777" w:rsidR="00410FD2" w:rsidRPr="00BA6255" w:rsidRDefault="00410FD2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7D1B51B8" w14:textId="77777777" w:rsidR="00603EE1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8" w:name="_Toc448736613"/>
      <w:r w:rsidRPr="00BA6255">
        <w:rPr>
          <w:rStyle w:val="Pogrubienie"/>
          <w:rFonts w:ascii="Calibri" w:hAnsi="Calibri"/>
          <w:sz w:val="22"/>
          <w:szCs w:val="22"/>
        </w:rPr>
        <w:t xml:space="preserve">7. </w:t>
      </w:r>
      <w:r w:rsidR="005F03D3" w:rsidRPr="00BA6255">
        <w:rPr>
          <w:rStyle w:val="Pogrubienie"/>
          <w:rFonts w:ascii="Calibri" w:hAnsi="Calibri"/>
          <w:sz w:val="22"/>
          <w:szCs w:val="22"/>
        </w:rPr>
        <w:t>Co się stanie, jeżeli podstawy zwolnienia od kosztów nie istniały lub przestały istnieć?</w:t>
      </w:r>
      <w:bookmarkEnd w:id="8"/>
    </w:p>
    <w:p w14:paraId="1C1AFCE7" w14:textId="77777777" w:rsidR="00334059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Jeżeli okaże się, że okoliczności, na podstawie których stronie zostało przyznane zwolnienie od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kosztów sądowych, nie istniały lub przestały istnieć, sąd cofa zwolnienie od kosztów sądowych (art. 110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u.k.s.c.). W obu wypadkach strona obowiązana jest uiścić wszystkie pr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zepisane opłaty oraz zwrócić wy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datki, jednakże w drugim wypadku sąd może obciążyć stronę tym obo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wiązkiem także częściowo, sto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sownie do zmiany, jaka nastąpiła w jej stosunkach. W takim wypadk</w:t>
      </w:r>
      <w:r w:rsidR="00334059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u stosuje się art. 111 u.k.s.c.</w:t>
      </w:r>
    </w:p>
    <w:p w14:paraId="5264E389" w14:textId="77777777" w:rsidR="00334059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, jak już wskazano,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może zarządzić stosowne dochodzenie, jeżeli na podstawie okoliczności sprawy lub oświadczeń strony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przeciwnej powziął wątpliwości co do rzeczywistego stanu majątkow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ego strony domagającej się zwol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nienia od kosztów sądo</w:t>
      </w:r>
      <w:r w:rsidR="00334059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wych lub z niego korzystającej.</w:t>
      </w:r>
    </w:p>
    <w:p w14:paraId="0379F2C3" w14:textId="77777777" w:rsidR="00334059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Stronę, która uzyskała zwolnienie od kosztów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sądowych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na podstawie świadomego podania nieprawdziwych okoliczności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sąd, cofając zwolnienie,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skazuje na grzywnę w wysokości do 1000 złotyc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h. Niezależnie od obo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wiązku uiszczenia grzywny, stro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na powinna uiścić wszystkie przepisane opłaty i</w:t>
      </w:r>
      <w:r w:rsidR="00334059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pokryć obciążające ją wydatki (art. 111 ust. 1 u.k.s.c.).</w:t>
      </w:r>
    </w:p>
    <w:p w14:paraId="7862DD35" w14:textId="77777777" w:rsidR="00334059" w:rsidRPr="00BA6255" w:rsidRDefault="00603EE1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Osobę, która ponownie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zgłosiła wniosek o zwolnienie od kosztów sądowych, świadomie podając nieprawdziwe okoliczności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o stanie rodzinnym, majątku, dochodach i źródłach utrzymania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, sąd, odrzucając wniosek,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skazuje na</w:t>
      </w:r>
      <w:r w:rsidR="005F03D3"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grzywnę w wysokości do 2000 złot</w:t>
      </w:r>
      <w:r w:rsidR="00334059" w:rsidRPr="00BA6255">
        <w:rPr>
          <w:rStyle w:val="Teksttreci0"/>
          <w:rFonts w:ascii="Calibri" w:eastAsia="Arial Unicode MS" w:hAnsi="Calibri"/>
          <w:color w:val="auto"/>
          <w:sz w:val="22"/>
          <w:szCs w:val="22"/>
          <w:u w:val="single"/>
        </w:rPr>
        <w:t>ych</w:t>
      </w:r>
      <w:r w:rsidR="00334059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(art. 111 ust. 2 u.k.s.c.).</w:t>
      </w:r>
    </w:p>
    <w:p w14:paraId="03CD2734" w14:textId="77777777" w:rsidR="00410FD2" w:rsidRPr="00BA6255" w:rsidRDefault="00410FD2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7065AD8F" w14:textId="77777777" w:rsidR="00334059" w:rsidRPr="00BA6255" w:rsidRDefault="00954FA0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9" w:name="_Toc448736614"/>
      <w:r w:rsidRPr="00BA6255">
        <w:rPr>
          <w:rStyle w:val="Pogrubienie"/>
          <w:rFonts w:ascii="Calibri" w:hAnsi="Calibri"/>
          <w:sz w:val="22"/>
          <w:szCs w:val="22"/>
        </w:rPr>
        <w:t xml:space="preserve">8. </w:t>
      </w:r>
      <w:r w:rsidR="00334059" w:rsidRPr="00BA6255">
        <w:rPr>
          <w:rStyle w:val="Pogrubienie"/>
          <w:rFonts w:ascii="Calibri" w:hAnsi="Calibri"/>
          <w:sz w:val="22"/>
          <w:szCs w:val="22"/>
        </w:rPr>
        <w:t>Czy odmowę zwolnienia od kosztów sądowych można zaskarżyć?</w:t>
      </w:r>
      <w:bookmarkEnd w:id="9"/>
    </w:p>
    <w:p w14:paraId="07C04595" w14:textId="77777777" w:rsidR="00603EE1" w:rsidRPr="00BA6255" w:rsidRDefault="00334059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Tak.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Postanowienie, na podstawie którego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wniosek o zwolnienie od kosztów został oddalony (w całości lub w częśc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i) lub nastąpiło cofnięcie zwol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nienia od kosztów sądowych, sąd doręcza obu stronom z uzasadnieniem (art. 357 § 2 zd. 2 k.p.c.), jest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ono bowiem zaskarżalne (art. 394 § 1 pkt 2 k.p.c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</w:t>
      </w:r>
    </w:p>
    <w:p w14:paraId="763A17B4" w14:textId="77777777" w:rsidR="00334059" w:rsidRPr="00BA6255" w:rsidRDefault="00334059" w:rsidP="00410FD2">
      <w:pPr>
        <w:tabs>
          <w:tab w:val="left" w:pos="471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 celu zaskarżenia takiego postanowienia skontaktuj się z prawnikiem, ponieważ inaczej należy zaskarżyć postanowienie wydane przez sąd (zażaleniem), a inaczej wydane przez referendarza sądowego (skargą na orzeczenie referendarza sądowego).</w:t>
      </w:r>
    </w:p>
    <w:p w14:paraId="2DAC4589" w14:textId="77777777" w:rsidR="00426186" w:rsidRPr="00BA6255" w:rsidRDefault="00426186">
      <w:pPr>
        <w:spacing w:after="200" w:line="276" w:lineRule="auto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br w:type="page"/>
      </w:r>
    </w:p>
    <w:p w14:paraId="44F45709" w14:textId="77777777" w:rsidR="004F259A" w:rsidRPr="00BA6255" w:rsidRDefault="00410FD2" w:rsidP="00954FA0">
      <w:pPr>
        <w:pStyle w:val="Tytu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  <w:bookmarkStart w:id="10" w:name="_Toc448736615"/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lastRenderedPageBreak/>
        <w:t xml:space="preserve">II. </w:t>
      </w:r>
      <w:r w:rsidR="004F259A"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USTANOWIENIE PEŁNOMOCNIKA Z URZĘDU</w:t>
      </w:r>
      <w:bookmarkEnd w:id="10"/>
    </w:p>
    <w:p w14:paraId="6CBBCBEF" w14:textId="77777777" w:rsidR="00776A52" w:rsidRPr="00BA6255" w:rsidRDefault="00776A52" w:rsidP="004F259A">
      <w:pPr>
        <w:tabs>
          <w:tab w:val="left" w:pos="510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7B8B7D97" w14:textId="77777777" w:rsidR="00776A52" w:rsidRPr="00BA6255" w:rsidRDefault="00426186" w:rsidP="00954FA0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1" w:name="_Toc448736616"/>
      <w:r w:rsidRPr="00BA6255">
        <w:rPr>
          <w:rStyle w:val="Pogrubienie"/>
          <w:rFonts w:ascii="Calibri" w:hAnsi="Calibri"/>
          <w:sz w:val="22"/>
          <w:szCs w:val="22"/>
        </w:rPr>
        <w:t xml:space="preserve">1. </w:t>
      </w:r>
      <w:r w:rsidR="00776A52" w:rsidRPr="00BA6255">
        <w:rPr>
          <w:rStyle w:val="Pogrubienie"/>
          <w:rFonts w:ascii="Calibri" w:hAnsi="Calibri"/>
          <w:sz w:val="22"/>
          <w:szCs w:val="22"/>
        </w:rPr>
        <w:t>Jaki podmiot jest właściwy w sprawie ustanowienia adwokata lub radcy prawnego?</w:t>
      </w:r>
      <w:bookmarkEnd w:id="11"/>
    </w:p>
    <w:p w14:paraId="315E0E1B" w14:textId="77777777" w:rsidR="00776A52" w:rsidRPr="00BA6255" w:rsidRDefault="00776A52" w:rsidP="00260F63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Postanowienie o ustanowieniu albo odmowie ustanowienia adwokata lub radcy prawnego może wydać sąd i referendarz sądowy (art. 123 § 2 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Kodeksu postępowania cywilnego, dalej jako „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k.p.c.</w:t>
      </w:r>
      <w:r w:rsidR="0097061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”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</w:t>
      </w:r>
      <w:r w:rsidR="00260F6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</w:p>
    <w:p w14:paraId="004FEC37" w14:textId="77777777" w:rsidR="00260F63" w:rsidRPr="00BA6255" w:rsidRDefault="00260F63" w:rsidP="00260F63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1525BB9F" w14:textId="77777777" w:rsidR="00F92597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2" w:name="_Toc448736617"/>
      <w:r w:rsidRPr="00BA6255">
        <w:rPr>
          <w:rStyle w:val="Pogrubienie"/>
          <w:rFonts w:ascii="Calibri" w:hAnsi="Calibri"/>
          <w:sz w:val="22"/>
          <w:szCs w:val="22"/>
        </w:rPr>
        <w:t xml:space="preserve">2. </w:t>
      </w:r>
      <w:r w:rsidR="00F92597" w:rsidRPr="00BA6255">
        <w:rPr>
          <w:rStyle w:val="Pogrubienie"/>
          <w:rFonts w:ascii="Calibri" w:hAnsi="Calibri"/>
          <w:sz w:val="22"/>
          <w:szCs w:val="22"/>
        </w:rPr>
        <w:t xml:space="preserve">Domaganie się wnioskiem wyłącznie ustanowienia adwokata lub radcy prawnego, gdy NIE </w:t>
      </w:r>
      <w:r w:rsidR="00103F14" w:rsidRPr="00BA6255">
        <w:rPr>
          <w:rStyle w:val="Pogrubienie"/>
          <w:rFonts w:ascii="Calibri" w:hAnsi="Calibri"/>
          <w:sz w:val="22"/>
          <w:szCs w:val="22"/>
        </w:rPr>
        <w:t xml:space="preserve">jest się </w:t>
      </w:r>
      <w:r w:rsidR="00F92597" w:rsidRPr="00BA6255">
        <w:rPr>
          <w:rStyle w:val="Pogrubienie"/>
          <w:rFonts w:ascii="Calibri" w:hAnsi="Calibri"/>
          <w:sz w:val="22"/>
          <w:szCs w:val="22"/>
        </w:rPr>
        <w:t>zwolnionym od kosztów sądowych</w:t>
      </w:r>
      <w:bookmarkEnd w:id="12"/>
    </w:p>
    <w:p w14:paraId="639B7ABC" w14:textId="77777777" w:rsidR="00603EE1" w:rsidRPr="00BA6255" w:rsidRDefault="00603EE1" w:rsidP="004F259A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Osoba fizyczna,</w:t>
      </w:r>
      <w:r w:rsidRPr="00BA6255">
        <w:rPr>
          <w:rStyle w:val="TeksttreciPogrubienie"/>
          <w:rFonts w:ascii="Calibri" w:eastAsia="Arial Unicode MS" w:hAnsi="Calibri"/>
          <w:color w:val="auto"/>
          <w:sz w:val="22"/>
          <w:szCs w:val="22"/>
        </w:rPr>
        <w:t xml:space="preserve"> niezwolniona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przez sąd od kosztów sądowych, m</w:t>
      </w:r>
      <w:r w:rsidR="004F259A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oże domagać się ustanowienia ad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wokata lub radcy prawnego, jeżeli złoży oświadczenie, z którego wynika, że</w:t>
      </w:r>
      <w:r w:rsidR="004F259A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nie jest w stanie ponieść kosz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tów wynagrodzenia 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adwokata lub radcy prawnego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bez uszczerbku utrzymania koniecznego dla siebie i rodziny (art. 117 § 2 k.p.c.).</w:t>
      </w:r>
      <w:r w:rsidR="00D3713D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Choć w art. 117 § 2 brak stosownego odesłania, chodzi tu o oświadczenie obejmujące szczegółowe dane o swoim stanie rodzinnym, majątku, dochodach i źródłach utrzymania, o którym mowa w 117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  <w:vertAlign w:val="superscript"/>
        </w:rPr>
        <w:t>1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§ 1</w:t>
      </w:r>
      <w:r w:rsidR="003F578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k.p.c.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 Oświadczenie to sporządza się według wzoru ustalonego w rozporządzeniu Ministra Sprawiedliwości z dnia 15 kwietnia 2010 r. w sprawie określenia wzoru oświadczenia o stanie rodzinnym, majątku, dochodach i źródłach utrzymania osoby fizycznej ubiegającej się o ustanowienie adwokata lub radcy prawnego (Dz. U. z 2015 r. poz. 526).</w:t>
      </w:r>
    </w:p>
    <w:p w14:paraId="5EC05A70" w14:textId="77777777" w:rsidR="004E572E" w:rsidRPr="00BA6255" w:rsidRDefault="004E572E" w:rsidP="004E572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Wzór druku tego oświadczenia udostępnia się nieodpłatnie w budynkach:</w:t>
      </w:r>
    </w:p>
    <w:p w14:paraId="145A6C6E" w14:textId="77777777" w:rsidR="004E572E" w:rsidRPr="00BA6255" w:rsidRDefault="004E572E" w:rsidP="004E572E">
      <w:pPr>
        <w:pStyle w:val="Akapitzlist"/>
        <w:numPr>
          <w:ilvl w:val="0"/>
          <w:numId w:val="5"/>
        </w:num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rejonowych i ich wydziałach zamiejscowych;</w:t>
      </w:r>
    </w:p>
    <w:p w14:paraId="6BFE8775" w14:textId="77777777" w:rsidR="004E572E" w:rsidRPr="00BA6255" w:rsidRDefault="004E572E" w:rsidP="004E572E">
      <w:pPr>
        <w:pStyle w:val="Akapitzlist"/>
        <w:numPr>
          <w:ilvl w:val="0"/>
          <w:numId w:val="5"/>
        </w:num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okręgowych oraz ich ośrodkach zamiejscowych i wydziałach zamiejscowych;</w:t>
      </w:r>
    </w:p>
    <w:p w14:paraId="1E9F88FE" w14:textId="77777777" w:rsidR="004E572E" w:rsidRPr="00BA6255" w:rsidRDefault="004E572E" w:rsidP="004E572E">
      <w:pPr>
        <w:pStyle w:val="Akapitzlist"/>
        <w:numPr>
          <w:ilvl w:val="0"/>
          <w:numId w:val="5"/>
        </w:num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sądów apelacyjnych.</w:t>
      </w:r>
    </w:p>
    <w:p w14:paraId="69574AEB" w14:textId="77777777" w:rsidR="004E572E" w:rsidRPr="00BA6255" w:rsidRDefault="004E572E" w:rsidP="004E572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  <w:lang w:val="pl-PL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Wzór druku oświadczenia udostępnia się także nieodpłatnie na stronie internetowej: </w:t>
      </w:r>
      <w:hyperlink r:id="rId9" w:history="1">
        <w:r w:rsidRPr="00BA6255">
          <w:rPr>
            <w:rStyle w:val="Hipercze"/>
            <w:rFonts w:ascii="Calibri" w:hAnsi="Calibri" w:cs="Times New Roman"/>
            <w:sz w:val="22"/>
            <w:szCs w:val="22"/>
          </w:rPr>
          <w:t>https://bip.ms.gov.pl/pl/formularze/formularze-pism-procesowych-w-postepowaniu-cywilnym/</w:t>
        </w:r>
      </w:hyperlink>
    </w:p>
    <w:p w14:paraId="54E2009F" w14:textId="77777777" w:rsidR="004E572E" w:rsidRPr="00BA6255" w:rsidRDefault="004E572E" w:rsidP="004F259A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Sąd uwzględni wniosek, jeżeli udział adwokata lub radcy prawnego w sprawie uzna za potrzebny (art. 117 § 5</w:t>
      </w:r>
      <w:r w:rsidR="00426186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k.p.c.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</w:t>
      </w:r>
    </w:p>
    <w:p w14:paraId="7D3EB923" w14:textId="77777777" w:rsidR="004E572E" w:rsidRPr="00BA6255" w:rsidRDefault="004E572E" w:rsidP="004F259A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6A516AB3" w14:textId="77777777" w:rsidR="00F92597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3" w:name="_Toc448736618"/>
      <w:r w:rsidRPr="00BA6255">
        <w:rPr>
          <w:rStyle w:val="Pogrubienie"/>
          <w:rFonts w:ascii="Calibri" w:hAnsi="Calibri"/>
          <w:sz w:val="22"/>
          <w:szCs w:val="22"/>
        </w:rPr>
        <w:t xml:space="preserve">3. </w:t>
      </w:r>
      <w:r w:rsidR="00F92597" w:rsidRPr="00BA6255">
        <w:rPr>
          <w:rStyle w:val="Pogrubienie"/>
          <w:rFonts w:ascii="Calibri" w:hAnsi="Calibri"/>
          <w:sz w:val="22"/>
          <w:szCs w:val="22"/>
        </w:rPr>
        <w:t>Domaganie się wnioskiem wyłącznie ustanowienia adwokata lub radcy prawnego, gdy jest się już zwolnionym od kosztów sądowych</w:t>
      </w:r>
      <w:bookmarkEnd w:id="13"/>
    </w:p>
    <w:p w14:paraId="50773FF3" w14:textId="77777777" w:rsidR="004E572E" w:rsidRPr="00BA6255" w:rsidRDefault="00603EE1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Strona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składająca wniosek o ustanowienie dla niej adwokata lub radcy prawnego</w:t>
      </w:r>
      <w:r w:rsidRPr="00BA6255">
        <w:rPr>
          <w:rStyle w:val="TeksttreciPogrubienie"/>
          <w:rFonts w:ascii="Calibri" w:eastAsia="Arial Unicode MS" w:hAnsi="Calibri"/>
          <w:color w:val="auto"/>
          <w:sz w:val="22"/>
          <w:szCs w:val="22"/>
        </w:rPr>
        <w:t xml:space="preserve"> korzystająca</w:t>
      </w:r>
      <w:r w:rsidR="00A31B6F" w:rsidRPr="00BA6255">
        <w:rPr>
          <w:rStyle w:val="TeksttreciPogrubienie"/>
          <w:rFonts w:ascii="Calibri" w:eastAsia="Arial Unicode MS" w:hAnsi="Calibri"/>
          <w:color w:val="auto"/>
          <w:sz w:val="22"/>
          <w:szCs w:val="22"/>
        </w:rPr>
        <w:t xml:space="preserve"> już</w:t>
      </w:r>
      <w:r w:rsidRPr="00BA6255">
        <w:rPr>
          <w:rStyle w:val="TeksttreciPogrubienie"/>
          <w:rFonts w:ascii="Calibri" w:eastAsia="Arial Unicode MS" w:hAnsi="Calibri"/>
          <w:color w:val="auto"/>
          <w:sz w:val="22"/>
          <w:szCs w:val="22"/>
        </w:rPr>
        <w:t xml:space="preserve"> z ustawowego zwolnienia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od kosztów sąd</w:t>
      </w:r>
      <w:r w:rsidR="004F259A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owych 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nie musi</w:t>
      </w:r>
      <w:r w:rsidR="004F259A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dołącz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a</w:t>
      </w:r>
      <w:r w:rsidR="004F259A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ć do wnios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ku oświadczeni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obejmujące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go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szczegółowe dane o stanie rodzinnym, majątku, dochodach i źródłach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utrzymania (art. 117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vertAlign w:val="superscript"/>
        </w:rPr>
        <w:t>1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§ 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5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k.p.c.)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ani</w:t>
      </w:r>
      <w:r w:rsidR="004E572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oczywiście</w:t>
      </w:r>
      <w:r w:rsidR="00A31B6F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oświadczenia, z którego wynika, że nie jest w stanie ponieść kosztów wynagrodzenia adwokata lub radcy prawnego bez uszczerbku utrzymania koniecznego dla siebie i rodziny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</w:p>
    <w:p w14:paraId="09DD2ED6" w14:textId="77777777" w:rsidR="00A31B6F" w:rsidRPr="00BA6255" w:rsidRDefault="00A31B6F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 takim przypadku uwzględnienie wniosku zależeć będzie jedynie od tego, czy sąd uzna udział adwokata lub radcy prawnego w sprawie za potrzebny (art. 117 § 5</w:t>
      </w:r>
      <w:r w:rsidR="00426186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k.p.c.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).</w:t>
      </w:r>
    </w:p>
    <w:p w14:paraId="055A8E41" w14:textId="77777777" w:rsidR="004E572E" w:rsidRPr="00BA6255" w:rsidRDefault="004E572E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7E10042A" w14:textId="77777777" w:rsidR="00A31B6F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4" w:name="_Toc448736619"/>
      <w:r w:rsidRPr="00BA6255">
        <w:rPr>
          <w:rStyle w:val="Pogrubienie"/>
          <w:rFonts w:ascii="Calibri" w:hAnsi="Calibri"/>
          <w:sz w:val="22"/>
          <w:szCs w:val="22"/>
        </w:rPr>
        <w:t xml:space="preserve">4. </w:t>
      </w:r>
      <w:r w:rsidR="00A31B6F" w:rsidRPr="00BA6255">
        <w:rPr>
          <w:rStyle w:val="Pogrubienie"/>
          <w:rFonts w:ascii="Calibri" w:hAnsi="Calibri"/>
          <w:sz w:val="22"/>
          <w:szCs w:val="22"/>
        </w:rPr>
        <w:t>Domaganie się</w:t>
      </w:r>
      <w:r w:rsidR="00F92597" w:rsidRPr="00BA6255">
        <w:rPr>
          <w:rStyle w:val="Pogrubienie"/>
          <w:rFonts w:ascii="Calibri" w:hAnsi="Calibri"/>
          <w:sz w:val="22"/>
          <w:szCs w:val="22"/>
        </w:rPr>
        <w:t xml:space="preserve"> wnioskiem</w:t>
      </w:r>
      <w:r w:rsidR="00A31B6F" w:rsidRPr="00BA6255">
        <w:rPr>
          <w:rStyle w:val="Pogrubienie"/>
          <w:rFonts w:ascii="Calibri" w:hAnsi="Calibri"/>
          <w:sz w:val="22"/>
          <w:szCs w:val="22"/>
        </w:rPr>
        <w:t xml:space="preserve"> łącznie</w:t>
      </w:r>
      <w:r w:rsidR="00F92597" w:rsidRPr="00BA6255">
        <w:rPr>
          <w:rStyle w:val="Pogrubienie"/>
          <w:rFonts w:ascii="Calibri" w:hAnsi="Calibri"/>
          <w:sz w:val="22"/>
          <w:szCs w:val="22"/>
        </w:rPr>
        <w:t xml:space="preserve"> zwolnienia od kosztów sądowych i ustanowienia adwokata lub radcy prawnego</w:t>
      </w:r>
      <w:bookmarkEnd w:id="14"/>
    </w:p>
    <w:p w14:paraId="477CB412" w14:textId="77777777" w:rsidR="002860AE" w:rsidRPr="00BA6255" w:rsidRDefault="002860AE" w:rsidP="002860AE">
      <w:pPr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Wniosek o ustanowienie adwokata lub radcy prawnego w sprawie, w której zwolnienie od kosztów sądowych nie przysługuje z mocy ustawy, można łączyć z wnioskiem o zwolnienie od kosztów sądowych.</w:t>
      </w:r>
    </w:p>
    <w:p w14:paraId="1614F746" w14:textId="77777777" w:rsidR="00F92597" w:rsidRPr="00BA6255" w:rsidRDefault="00F92597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 xml:space="preserve">Jeżeli oba wnioski składane są łącznie, strona </w:t>
      </w:r>
      <w:r w:rsidR="002860AE"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dołącza</w: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 xml:space="preserve"> tylko jedno oświadczenie</w:t>
      </w:r>
      <w:r w:rsidR="002860AE"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 xml:space="preserve"> obejmujące szczegółowe dane o swoim stanie rodzinnym, majątku, dochodach i źródłach utrzymania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–</w:t>
      </w:r>
      <w:r w:rsidR="002860A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według wzoru określonego w rozporządzeniu Ministra Sprawiedliwości z dnia 15 kwietnia 2010 r. w sprawie określenia wzoru oświadczenia o stanie rodzinnym, majątku, dochodach i źródłach utrzymania osoby fizycznej ubiegającej się o ustanowienie adwokata lub radcy prawnego (Dz. U. z 2015 r. poz. 526).</w:t>
      </w:r>
    </w:p>
    <w:p w14:paraId="3D5EFF03" w14:textId="77777777" w:rsidR="002860AE" w:rsidRPr="00BA6255" w:rsidRDefault="002860AE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Sąd uwzględni wniosek, jeżeli udział adwokata lub radcy prawnego w sprawie uzna za potrzebny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(art. 117 § 5).</w:t>
      </w:r>
      <w:r w:rsidR="00776A52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Jest to przesłanka ocenna, a sama ocena pozostaje w wyłącznej kompetencji sądu</w:t>
      </w:r>
    </w:p>
    <w:p w14:paraId="0069F3FB" w14:textId="77777777" w:rsidR="00F92597" w:rsidRPr="00BA6255" w:rsidRDefault="00F92597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UWAGA</w:t>
      </w:r>
    </w:p>
    <w:p w14:paraId="7BC18825" w14:textId="77777777" w:rsidR="00F92597" w:rsidRPr="00BA6255" w:rsidRDefault="00F92597" w:rsidP="00A31B6F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Jest to inne oświadczenie, niż oświadczenie, którego dołącza się do wniosku dotyczącego TYLKO zwolnienia z kosztów sądowych (chodzi wówczas o oświadczenie określone w rozporządzeniu Ministra Sprawiedliwości z 31 stycznia 2006 r. w sprawie określenia wzoru oświadczenia o stanie rodzinnym, majątku, dochodach i źródłach utrzymania osoby fizycznej ubiegającej się o zwolnienie od kosztów sądowych w postępowaniu cywilnym (Dz.U. z 2015 r. poz. 574)). Jeżeli jednak składa się jeden wniosek jednocześnie o zwolnienie od kosztów sądowych i ustanowienie adwokata lub radcy prawnego, to składa się oświadczenie według wzoru określonego w rozporządzeniu Ministra Sprawiedliwości z dnia 15 kwietnia 2010 r. w sprawie określenia wzoru oświadczenia o stanie rodzinnym, majątku, dochodach i źródłach utrzymania osoby fizycznej ubiegającej się o ustanowienie adwokata lub radcy prawnego (Dz. U. z 2015 r. poz. 526)</w:t>
      </w:r>
      <w:r w:rsidR="003F5783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</w:p>
    <w:p w14:paraId="4A90FAD7" w14:textId="77777777" w:rsidR="002860AE" w:rsidRPr="00BA6255" w:rsidRDefault="002860AE" w:rsidP="002860AE">
      <w:pPr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36F3D4A9" w14:textId="77777777" w:rsidR="002860AE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5" w:name="_Toc448736620"/>
      <w:r w:rsidRPr="00BA6255">
        <w:rPr>
          <w:rStyle w:val="Pogrubienie"/>
          <w:rFonts w:ascii="Calibri" w:hAnsi="Calibri"/>
          <w:sz w:val="22"/>
          <w:szCs w:val="22"/>
        </w:rPr>
        <w:t xml:space="preserve">5. </w:t>
      </w:r>
      <w:r w:rsidR="002860AE" w:rsidRPr="00BA6255">
        <w:rPr>
          <w:rStyle w:val="Pogrubienie"/>
          <w:rFonts w:ascii="Calibri" w:hAnsi="Calibri"/>
          <w:sz w:val="22"/>
          <w:szCs w:val="22"/>
        </w:rPr>
        <w:t>Jak uzasadnić wniosek o</w:t>
      </w:r>
      <w:r w:rsidR="00603EE1" w:rsidRPr="00BA6255">
        <w:rPr>
          <w:rStyle w:val="Pogrubienie"/>
          <w:rFonts w:ascii="Calibri" w:hAnsi="Calibri"/>
          <w:sz w:val="22"/>
          <w:szCs w:val="22"/>
        </w:rPr>
        <w:t xml:space="preserve"> ustanowienie adwokata lub radcy prawnego</w:t>
      </w:r>
      <w:r w:rsidR="002860AE" w:rsidRPr="00BA6255">
        <w:rPr>
          <w:rStyle w:val="Pogrubienie"/>
          <w:rFonts w:ascii="Calibri" w:hAnsi="Calibri"/>
          <w:sz w:val="22"/>
          <w:szCs w:val="22"/>
        </w:rPr>
        <w:t>?</w:t>
      </w:r>
      <w:bookmarkEnd w:id="15"/>
    </w:p>
    <w:p w14:paraId="433226F8" w14:textId="77777777" w:rsidR="002860AE" w:rsidRPr="00BA6255" w:rsidRDefault="002860AE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Taki wniosek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można uzasadnić faktem zamieszkiwania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strony poza miejscowością, w której jest siedziba sądu, lub szczególnym charakterem sprawy (zawiłość,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potrzeba znajomości prawa). Można też powołać inne ważne okolicznoś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ci uniemożliwiające stronie pro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wadzenie sprawy</w:t>
      </w:r>
      <w:r w:rsidR="00531AC0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(takie jak np. </w:t>
      </w:r>
      <w:r w:rsidR="000C023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n</w:t>
      </w:r>
      <w:r w:rsidR="00531AC0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iepełnosprawność)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 Sąd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jak już sygnalizowano,</w:t>
      </w:r>
      <w:r w:rsidR="00603EE1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uwzględni wniosek dopiero wtedy, gdy uzna udział adwokata lub radcy prawnego w sprawie za p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otrzebny (art. 117 § 5 k.p.c.).</w:t>
      </w:r>
    </w:p>
    <w:p w14:paraId="760DCE2F" w14:textId="77777777" w:rsidR="00603EE1" w:rsidRPr="00BA6255" w:rsidRDefault="00603EE1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Wniosek o ustanowienie adwokata (radcy prawnego)</w:t>
      </w:r>
      <w:r w:rsidR="002860A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może być uzasadniony także obowiązującym w postępowaniu przed Sądem Najwyższym zastępstwem</w:t>
      </w:r>
      <w:r w:rsidR="002860A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 przez adwokatów lub radców prawnych. Zastępstwo to (tzw. przymus adwokacko-radcowski) dotyczy także czynności procesowych związanych z postępowaniem przed Sądem Najwyższym, podejmowanych przed sądem niższej instancji (art. 87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  <w:vertAlign w:val="superscript"/>
        </w:rPr>
        <w:t>1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§ 1 k.p.c.).</w:t>
      </w:r>
    </w:p>
    <w:p w14:paraId="0AABD5F7" w14:textId="77777777" w:rsidR="002860AE" w:rsidRPr="00BA6255" w:rsidRDefault="002860AE" w:rsidP="002860AE">
      <w:pPr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D3C25FD" w14:textId="77777777" w:rsidR="002860AE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6" w:name="_Toc448736621"/>
      <w:r w:rsidRPr="00BA6255">
        <w:rPr>
          <w:rStyle w:val="Pogrubienie"/>
          <w:rFonts w:ascii="Calibri" w:hAnsi="Calibri"/>
          <w:sz w:val="22"/>
          <w:szCs w:val="22"/>
        </w:rPr>
        <w:lastRenderedPageBreak/>
        <w:t xml:space="preserve">6. </w:t>
      </w:r>
      <w:r w:rsidR="002860AE" w:rsidRPr="00BA6255">
        <w:rPr>
          <w:rStyle w:val="Pogrubienie"/>
          <w:rFonts w:ascii="Calibri" w:hAnsi="Calibri"/>
          <w:sz w:val="22"/>
          <w:szCs w:val="22"/>
        </w:rPr>
        <w:t>Do jakiego sądu składa się wniosek o ustanowienie adwokata lub radcy prawnego?</w:t>
      </w:r>
      <w:bookmarkEnd w:id="16"/>
    </w:p>
    <w:p w14:paraId="078A6322" w14:textId="77777777" w:rsidR="00603EE1" w:rsidRPr="00BA6255" w:rsidRDefault="00603EE1" w:rsidP="002860AE">
      <w:pPr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Strona może zgłosić wniosek o ustanowienie adwokata lub radcy prawnego w sądzie, w którym</w:t>
      </w:r>
      <w:r w:rsidR="002860A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sprawa się toczy lub będzie wytoczona, albo w sądzie rejonowym miejsca jej zamieszkania (art. 117 § 4</w:t>
      </w:r>
      <w:r w:rsidR="002860AE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k.p.c.).</w:t>
      </w:r>
    </w:p>
    <w:p w14:paraId="6309CB84" w14:textId="77777777" w:rsidR="002860AE" w:rsidRPr="00BA6255" w:rsidRDefault="002860AE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09D181B0" w14:textId="77777777" w:rsidR="00776A52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7" w:name="_Toc448736622"/>
      <w:r w:rsidRPr="00BA6255">
        <w:rPr>
          <w:rStyle w:val="Pogrubienie"/>
          <w:rFonts w:ascii="Calibri" w:hAnsi="Calibri"/>
          <w:sz w:val="22"/>
          <w:szCs w:val="22"/>
        </w:rPr>
        <w:t xml:space="preserve">7. </w:t>
      </w:r>
      <w:r w:rsidR="00776A52" w:rsidRPr="00BA6255">
        <w:rPr>
          <w:rStyle w:val="Pogrubienie"/>
          <w:rFonts w:ascii="Calibri" w:hAnsi="Calibri"/>
          <w:sz w:val="22"/>
          <w:szCs w:val="22"/>
        </w:rPr>
        <w:t>Skutki zgłoszenia wniosku o ustanowienie adwokata lub radcy prawnego</w:t>
      </w:r>
      <w:bookmarkEnd w:id="17"/>
    </w:p>
    <w:p w14:paraId="456904A5" w14:textId="77777777" w:rsidR="00776A52" w:rsidRPr="00BA6255" w:rsidRDefault="00776A52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Zgłoszenie wniosku o ustanowienie adwokata lub radcy prawnego, jak również wniesienie środka odwoławczego od odmowy ich ustanowienia </w: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nie wstrzymuje biegu toczącego się postępowania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, chyba że chodzi o ustanowienie adwokata lub radcy prawnego dla powoda na skutek wniosku zgłoszonego w pozwie lub przed wytoczeniem powództwa. </w: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Sąd może jednak wstrzymać rozpoznanie sprawy aż do prawomocnego rozstrzygnięcia wniosku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i w związku z tym nie wyznaczać rozprawy, a wyznaczoną rozprawę odwołać lub odroczyć</w:t>
      </w:r>
      <w:r w:rsidR="00410FD2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(art. 124 k.p.c.)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</w:p>
    <w:p w14:paraId="68E40142" w14:textId="77777777" w:rsidR="00776A52" w:rsidRPr="00BA6255" w:rsidRDefault="00776A52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0E114095" w14:textId="77777777" w:rsidR="002860AE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8" w:name="_Toc448736623"/>
      <w:r w:rsidRPr="00BA6255">
        <w:rPr>
          <w:rStyle w:val="Pogrubienie"/>
          <w:rFonts w:ascii="Calibri" w:hAnsi="Calibri"/>
          <w:sz w:val="22"/>
          <w:szCs w:val="22"/>
        </w:rPr>
        <w:t xml:space="preserve">8. </w:t>
      </w:r>
      <w:r w:rsidR="002860AE" w:rsidRPr="00BA6255">
        <w:rPr>
          <w:rStyle w:val="Pogrubienie"/>
          <w:rFonts w:ascii="Calibri" w:hAnsi="Calibri"/>
          <w:sz w:val="22"/>
          <w:szCs w:val="22"/>
        </w:rPr>
        <w:t>Skutki ustanowienia adwokata lub radcy prawnego przez sąd</w:t>
      </w:r>
      <w:bookmarkEnd w:id="18"/>
    </w:p>
    <w:p w14:paraId="46E7546B" w14:textId="77777777" w:rsidR="00603EE1" w:rsidRPr="00BA6255" w:rsidRDefault="00603EE1" w:rsidP="002860AE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Ustanowienie adwokata lub radcy prawnego dla strony zwolnionej od kosztów sądowych jest równoznaczne z udzieleniem pełnomocnictwa procesowego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(art. 118 § 1 k.p.c.).</w:t>
      </w:r>
      <w:r w:rsidR="00005ABC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Adwokat lub radca prawny ustanowiony przez sąd jest obowiązany zastępować stronę do prawomocnego zakończenia postępowania, chyba że z postanowienia sądu wynika, iż obowiązek zastępowania strony ustaje wcześniej (art. 118 § 2 k.p.c.).</w:t>
      </w:r>
    </w:p>
    <w:p w14:paraId="339E60DE" w14:textId="77777777" w:rsidR="00603EE1" w:rsidRPr="00BA6255" w:rsidRDefault="00603EE1" w:rsidP="00005ABC">
      <w:pPr>
        <w:spacing w:before="160" w:line="259" w:lineRule="auto"/>
        <w:jc w:val="both"/>
        <w:rPr>
          <w:rFonts w:ascii="Calibri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Zwolnienie od kosztów sądowych oraz ustanowienie adwokata lub radcy prawnego wygasa ze</w:t>
      </w:r>
      <w:r w:rsidR="00005ABC"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śmiercią strony, która je uzyskała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 Jednakże na podstawie tego ustanowienia adwokat lub radca prawny</w:t>
      </w:r>
      <w:r w:rsidR="00005ABC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strony podejmuje czynności procesowe niecierpiące zwłoki (art. 119 k.p.c.).</w:t>
      </w:r>
    </w:p>
    <w:p w14:paraId="5DF6EFE0" w14:textId="77777777" w:rsidR="00005ABC" w:rsidRPr="00BA6255" w:rsidRDefault="00005ABC" w:rsidP="00005ABC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655D4C4C" w14:textId="77777777" w:rsidR="00005ABC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19" w:name="_Toc448736624"/>
      <w:r w:rsidRPr="00BA6255">
        <w:rPr>
          <w:rStyle w:val="Pogrubienie"/>
          <w:rFonts w:ascii="Calibri" w:hAnsi="Calibri"/>
          <w:sz w:val="22"/>
          <w:szCs w:val="22"/>
        </w:rPr>
        <w:t xml:space="preserve">9. </w:t>
      </w:r>
      <w:r w:rsidR="00005ABC" w:rsidRPr="00BA6255">
        <w:rPr>
          <w:rStyle w:val="Pogrubienie"/>
          <w:rFonts w:ascii="Calibri" w:hAnsi="Calibri"/>
          <w:sz w:val="22"/>
          <w:szCs w:val="22"/>
        </w:rPr>
        <w:t>Co się stanie, jeżeli podstawy zwolnienia od kosztów nie istniały lub przestały istnieć?</w:t>
      </w:r>
      <w:bookmarkEnd w:id="19"/>
    </w:p>
    <w:p w14:paraId="4744FD57" w14:textId="77777777" w:rsidR="00005ABC" w:rsidRPr="00BA6255" w:rsidRDefault="00005ABC" w:rsidP="00776A52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Jeżeli okaże się, że okoliczności, na podstawie których ustanowiono adwokata lub radcę prawnego, nie istniały lub przestały istnieć, sąd cofa ustanowienie adwokata lub radcy prawnego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 (art. </w:t>
      </w:r>
      <w:r w:rsidR="00776A52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120 ust. 1 k.p.c.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). W obu wypadkach strona obowiązana jest </w:t>
      </w:r>
      <w:r w:rsidR="00776A52"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strona obowiązana jest uiścić wynagrodzenie adwokata lub radcy prawnego dla niej ustanowionego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.</w:t>
      </w:r>
    </w:p>
    <w:p w14:paraId="3CB7C481" w14:textId="77777777" w:rsidR="00005ABC" w:rsidRPr="00BA6255" w:rsidRDefault="00776A52" w:rsidP="00776A52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 xml:space="preserve">Ponadto, w wypadku gdy okoliczności, na podstawie których przyznano ustanowienie adwokata lub radcy prawnego, przestały istnieć, sąd może obciążyć stronę tym obowiązkiem tylko częściowo, stosownie do zmiany, jaka nastąpiła w jej stosunkach. Stronę, która uzyskała ustanowienie adwokata lub radcy prawnego na podstawie podania świadomie nieprawdziwych okoliczności, </w:t>
      </w: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sąd skaże na grzywnę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niezależnie od jej obowiązku uiszczenia wynagrodzenia adwokata lub radcy prawnego.</w:t>
      </w:r>
    </w:p>
    <w:p w14:paraId="70FA50CB" w14:textId="77777777" w:rsidR="00776A52" w:rsidRPr="00BA6255" w:rsidRDefault="00776A52" w:rsidP="00776A52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b/>
          <w:color w:val="auto"/>
          <w:sz w:val="22"/>
          <w:szCs w:val="22"/>
        </w:rPr>
        <w:t>Sąd może zarządzić stosowne dochodzenie</w:t>
      </w: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, jeżeli na podstawie okoliczności sprawy lub oświadczeń strony przeciwnej powziął wątpliwości co do rzeczywistego stanu majątkowego strony domagającej się ustanowienia lub zastępowanej przez ustanowionego adwokata lub radcę prawnego.</w:t>
      </w:r>
    </w:p>
    <w:p w14:paraId="4DFA63F9" w14:textId="77777777" w:rsidR="00776A52" w:rsidRPr="00BA6255" w:rsidRDefault="00776A52" w:rsidP="00776A52">
      <w:pPr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</w:p>
    <w:p w14:paraId="19DA1469" w14:textId="77777777" w:rsidR="00005ABC" w:rsidRPr="00BA6255" w:rsidRDefault="00426186" w:rsidP="00426186">
      <w:pPr>
        <w:pStyle w:val="Nagwek1"/>
        <w:rPr>
          <w:rStyle w:val="Pogrubienie"/>
          <w:rFonts w:ascii="Calibri" w:hAnsi="Calibri"/>
          <w:sz w:val="22"/>
          <w:szCs w:val="22"/>
        </w:rPr>
      </w:pPr>
      <w:bookmarkStart w:id="20" w:name="_Toc448736625"/>
      <w:r w:rsidRPr="00BA6255">
        <w:rPr>
          <w:rStyle w:val="Pogrubienie"/>
          <w:rFonts w:ascii="Calibri" w:hAnsi="Calibri"/>
          <w:sz w:val="22"/>
          <w:szCs w:val="22"/>
        </w:rPr>
        <w:lastRenderedPageBreak/>
        <w:t>10. C</w:t>
      </w:r>
      <w:r w:rsidR="00005ABC" w:rsidRPr="00BA6255">
        <w:rPr>
          <w:rStyle w:val="Pogrubienie"/>
          <w:rFonts w:ascii="Calibri" w:hAnsi="Calibri"/>
          <w:sz w:val="22"/>
          <w:szCs w:val="22"/>
        </w:rPr>
        <w:t>zy można zaskarżyć brak ustanowienia adwokata lub radcy prawnego?</w:t>
      </w:r>
      <w:bookmarkEnd w:id="20"/>
    </w:p>
    <w:p w14:paraId="5E4DC886" w14:textId="77777777" w:rsidR="00005ABC" w:rsidRPr="00BA6255" w:rsidRDefault="00005ABC" w:rsidP="00005ABC">
      <w:pPr>
        <w:tabs>
          <w:tab w:val="left" w:pos="543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Tak. Postanowienie, na podstawie którego wniosek o ustanowienie adwokata lub radcy prawnego został oddalony (w całości lub w części) lub nastąpiło odwołania adwokata lub radcy prawnego, sąd doręcza obu stronom z uzasadnieniem (art. 357 § 2 zd. 2 k.p.c.), jest ono bowiem zaskarżalne (art. 394 § 1 pkt 2 k.p.c.).</w:t>
      </w:r>
    </w:p>
    <w:p w14:paraId="6912A859" w14:textId="77777777" w:rsidR="00817C33" w:rsidRPr="00BA6255" w:rsidRDefault="00005ABC" w:rsidP="00260F63">
      <w:pPr>
        <w:tabs>
          <w:tab w:val="left" w:pos="543"/>
        </w:tabs>
        <w:spacing w:before="160" w:line="259" w:lineRule="auto"/>
        <w:jc w:val="both"/>
        <w:rPr>
          <w:rStyle w:val="Teksttreci0"/>
          <w:rFonts w:ascii="Calibri" w:eastAsia="Arial Unicode MS" w:hAnsi="Calibri"/>
          <w:color w:val="auto"/>
          <w:sz w:val="22"/>
          <w:szCs w:val="22"/>
        </w:rPr>
      </w:pPr>
      <w:r w:rsidRPr="00BA6255">
        <w:rPr>
          <w:rStyle w:val="Teksttreci0"/>
          <w:rFonts w:ascii="Calibri" w:eastAsia="Arial Unicode MS" w:hAnsi="Calibri"/>
          <w:color w:val="auto"/>
          <w:sz w:val="22"/>
          <w:szCs w:val="22"/>
        </w:rPr>
        <w:t>W celu zaskarżenia takiego postanowienia skontaktuj się z prawnikiem, ponieważ inaczej należy zaskarżyć postanowienie wydane przez sąd (zażaleniem), a inaczej wydane przez referendarza sądowego (skargą na orzeczenie referendarza sądowego).</w:t>
      </w:r>
    </w:p>
    <w:p w14:paraId="0BD15F36" w14:textId="77777777" w:rsidR="00C97A49" w:rsidRPr="00BA6255" w:rsidRDefault="00C97A49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sectPr w:rsidR="00C97A49" w:rsidRPr="00BA6255" w:rsidSect="00603EE1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23AA" w14:textId="77777777" w:rsidR="00CC60FD" w:rsidRDefault="00CC60FD" w:rsidP="00817C33">
      <w:r>
        <w:separator/>
      </w:r>
    </w:p>
  </w:endnote>
  <w:endnote w:type="continuationSeparator" w:id="0">
    <w:p w14:paraId="72CA3F1C" w14:textId="77777777" w:rsidR="00CC60FD" w:rsidRDefault="00CC60FD" w:rsidP="0081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52FB" w14:textId="77777777" w:rsidR="00CC60FD" w:rsidRDefault="00CC60FD" w:rsidP="00817C33">
      <w:r>
        <w:separator/>
      </w:r>
    </w:p>
  </w:footnote>
  <w:footnote w:type="continuationSeparator" w:id="0">
    <w:p w14:paraId="366005FF" w14:textId="77777777" w:rsidR="00CC60FD" w:rsidRDefault="00CC60FD" w:rsidP="0081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F3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B41"/>
    <w:multiLevelType w:val="hybridMultilevel"/>
    <w:tmpl w:val="FAC27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36AE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2B5B"/>
    <w:multiLevelType w:val="hybridMultilevel"/>
    <w:tmpl w:val="C1BE1980"/>
    <w:lvl w:ilvl="0" w:tplc="C04251CA">
      <w:start w:val="1"/>
      <w:numFmt w:val="decimal"/>
      <w:lvlText w:val="%1."/>
      <w:lvlJc w:val="left"/>
      <w:pPr>
        <w:ind w:left="720" w:hanging="360"/>
      </w:pPr>
    </w:lvl>
    <w:lvl w:ilvl="1" w:tplc="ABDED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ABD"/>
    <w:multiLevelType w:val="hybridMultilevel"/>
    <w:tmpl w:val="0DA6E6B0"/>
    <w:lvl w:ilvl="0" w:tplc="ACC6B47C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ABDED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498A"/>
    <w:multiLevelType w:val="hybridMultilevel"/>
    <w:tmpl w:val="107EF91E"/>
    <w:lvl w:ilvl="0" w:tplc="E960BB5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C38BE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C62"/>
    <w:multiLevelType w:val="multilevel"/>
    <w:tmpl w:val="6164D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15"/>
        <w:szCs w:val="1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EA6DB7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78C6"/>
    <w:multiLevelType w:val="hybridMultilevel"/>
    <w:tmpl w:val="50AE78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48387A"/>
    <w:multiLevelType w:val="multilevel"/>
    <w:tmpl w:val="6164D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15"/>
        <w:szCs w:val="1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1"/>
    <w:rsid w:val="00005ABC"/>
    <w:rsid w:val="00031796"/>
    <w:rsid w:val="000C023E"/>
    <w:rsid w:val="00103F14"/>
    <w:rsid w:val="00190408"/>
    <w:rsid w:val="00204E65"/>
    <w:rsid w:val="0021680B"/>
    <w:rsid w:val="00260F63"/>
    <w:rsid w:val="002860AE"/>
    <w:rsid w:val="002B6FDD"/>
    <w:rsid w:val="00334059"/>
    <w:rsid w:val="003F5783"/>
    <w:rsid w:val="00410FD2"/>
    <w:rsid w:val="00426186"/>
    <w:rsid w:val="004960AD"/>
    <w:rsid w:val="004E572E"/>
    <w:rsid w:val="004E7086"/>
    <w:rsid w:val="004F259A"/>
    <w:rsid w:val="00531AC0"/>
    <w:rsid w:val="005C0C5A"/>
    <w:rsid w:val="005D0211"/>
    <w:rsid w:val="005F03D3"/>
    <w:rsid w:val="005F0827"/>
    <w:rsid w:val="00603EE1"/>
    <w:rsid w:val="00671C16"/>
    <w:rsid w:val="0075678F"/>
    <w:rsid w:val="00776A52"/>
    <w:rsid w:val="00817C33"/>
    <w:rsid w:val="00954FA0"/>
    <w:rsid w:val="0097061E"/>
    <w:rsid w:val="00A31B6F"/>
    <w:rsid w:val="00A520AF"/>
    <w:rsid w:val="00B17F52"/>
    <w:rsid w:val="00BA6255"/>
    <w:rsid w:val="00BB7F7E"/>
    <w:rsid w:val="00BE3C4B"/>
    <w:rsid w:val="00C625BD"/>
    <w:rsid w:val="00C97A49"/>
    <w:rsid w:val="00CB32CE"/>
    <w:rsid w:val="00CB5EE7"/>
    <w:rsid w:val="00CC60FD"/>
    <w:rsid w:val="00D3713D"/>
    <w:rsid w:val="00D41A95"/>
    <w:rsid w:val="00E1189B"/>
    <w:rsid w:val="00E83F28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32DED"/>
  <w15:docId w15:val="{FBFF4875-0BF1-463B-9688-17E98FD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3E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21680B"/>
    <w:rPr>
      <w:rFonts w:ascii="Times New Roman" w:hAnsi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autoRedefine/>
    <w:semiHidden/>
    <w:unhideWhenUsed/>
    <w:rsid w:val="0021680B"/>
    <w:pPr>
      <w:jc w:val="both"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21680B"/>
    <w:rPr>
      <w:rFonts w:ascii="Times New Roman" w:hAnsi="Times New Roman"/>
    </w:rPr>
  </w:style>
  <w:style w:type="character" w:customStyle="1" w:styleId="Nagwek10">
    <w:name w:val="Nagłówek #1_"/>
    <w:basedOn w:val="Domylnaczcionkaakapitu"/>
    <w:rsid w:val="00603E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1">
    <w:name w:val="Nagłówek #1"/>
    <w:basedOn w:val="Nagwek10"/>
    <w:rsid w:val="00603E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63636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0">
    <w:name w:val="Tekst treści (2)"/>
    <w:basedOn w:val="Teksttreci2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sz w:val="19"/>
      <w:szCs w:val="19"/>
    </w:rPr>
  </w:style>
  <w:style w:type="character" w:customStyle="1" w:styleId="Teksttreci2Kursywa">
    <w:name w:val="Tekst treści (2) + Kursywa"/>
    <w:basedOn w:val="Teksttreci2"/>
    <w:rsid w:val="00603E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636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rsid w:val="00603EE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0">
    <w:name w:val="Tekst treści (3)"/>
    <w:basedOn w:val="Teksttreci3"/>
    <w:rsid w:val="00603EE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363636"/>
      <w:spacing w:val="0"/>
      <w:sz w:val="18"/>
      <w:szCs w:val="18"/>
    </w:rPr>
  </w:style>
  <w:style w:type="character" w:customStyle="1" w:styleId="PogrubienieTeksttreci2PalatinoLinotype9pt">
    <w:name w:val="Pogrubienie;Tekst treści (2) + Palatino Linotype;9 pt"/>
    <w:basedOn w:val="Teksttreci2"/>
    <w:rsid w:val="00603E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363636"/>
      <w:spacing w:val="0"/>
      <w:sz w:val="18"/>
      <w:szCs w:val="18"/>
    </w:rPr>
  </w:style>
  <w:style w:type="character" w:customStyle="1" w:styleId="Nagwek20">
    <w:name w:val="Nagłówek #2_"/>
    <w:basedOn w:val="Domylnaczcionkaakapitu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1">
    <w:name w:val="Nagłówek #2"/>
    <w:basedOn w:val="Nagwek20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sz w:val="19"/>
      <w:szCs w:val="19"/>
    </w:rPr>
  </w:style>
  <w:style w:type="character" w:customStyle="1" w:styleId="Nagwek22">
    <w:name w:val="Nagłówek #2 (2)_"/>
    <w:basedOn w:val="Domylnaczcionkaakapitu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20">
    <w:name w:val="Nagłówek #2 (2)"/>
    <w:basedOn w:val="Nagwek22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0">
    <w:name w:val="Tekst treści (4)"/>
    <w:basedOn w:val="Teksttreci4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sz w:val="15"/>
      <w:szCs w:val="15"/>
    </w:rPr>
  </w:style>
  <w:style w:type="character" w:customStyle="1" w:styleId="Teksttreci">
    <w:name w:val="Tekst treści_"/>
    <w:basedOn w:val="Domylnaczcionkaakapitu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0">
    <w:name w:val="Tekst treści"/>
    <w:basedOn w:val="Teksttreci"/>
    <w:rsid w:val="00603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6"/>
      <w:spacing w:val="0"/>
      <w:sz w:val="15"/>
      <w:szCs w:val="15"/>
    </w:rPr>
  </w:style>
  <w:style w:type="character" w:customStyle="1" w:styleId="TeksttreciPogrubienie">
    <w:name w:val="Tekst treści + Pogrubienie"/>
    <w:basedOn w:val="Teksttreci"/>
    <w:rsid w:val="00603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pacing w:val="0"/>
      <w:sz w:val="15"/>
      <w:szCs w:val="15"/>
    </w:rPr>
  </w:style>
  <w:style w:type="character" w:customStyle="1" w:styleId="luchili">
    <w:name w:val="luc_hili"/>
    <w:basedOn w:val="Domylnaczcionkaakapitu"/>
    <w:rsid w:val="00603EE1"/>
  </w:style>
  <w:style w:type="paragraph" w:styleId="Tekstdymka">
    <w:name w:val="Balloon Text"/>
    <w:basedOn w:val="Normalny"/>
    <w:link w:val="TekstdymkaZnak"/>
    <w:uiPriority w:val="99"/>
    <w:semiHidden/>
    <w:unhideWhenUsed/>
    <w:rsid w:val="0060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603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3D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4E572E"/>
  </w:style>
  <w:style w:type="paragraph" w:styleId="Nagwek">
    <w:name w:val="header"/>
    <w:basedOn w:val="Normalny"/>
    <w:link w:val="NagwekZnak"/>
    <w:uiPriority w:val="99"/>
    <w:unhideWhenUsed/>
    <w:rsid w:val="0081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C3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1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C3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C625BD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2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" w:eastAsia="pl-PL"/>
    </w:rPr>
  </w:style>
  <w:style w:type="character" w:styleId="Pogrubienie">
    <w:name w:val="Strong"/>
    <w:basedOn w:val="Domylnaczcionkaakapitu"/>
    <w:uiPriority w:val="22"/>
    <w:qFormat/>
    <w:rsid w:val="00C625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5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4FA0"/>
    <w:pPr>
      <w:spacing w:line="276" w:lineRule="auto"/>
      <w:outlineLvl w:val="9"/>
    </w:pPr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4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4FA0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4FA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s.gov.pl/pl/formularze/formularze-pism-procesowych-w-postepowaniu-cywilny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s.gov.pl/pl/formularze/formularze-pism-procesowych-w-postepowaniu-cywiln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BEDAA4-4C39-4797-9F46-50C6F1C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inpris</cp:lastModifiedBy>
  <cp:revision>3</cp:revision>
  <dcterms:created xsi:type="dcterms:W3CDTF">2016-04-18T07:54:00Z</dcterms:created>
  <dcterms:modified xsi:type="dcterms:W3CDTF">2016-04-18T07:55:00Z</dcterms:modified>
</cp:coreProperties>
</file>